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微软雅黑" w:hAnsi="微软雅黑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bCs/>
          <w:sz w:val="36"/>
          <w:szCs w:val="36"/>
        </w:rPr>
        <w:t>场内机动车辆</w:t>
      </w:r>
      <w:r>
        <w:rPr>
          <w:rFonts w:hint="eastAsia" w:ascii="微软雅黑" w:hAnsi="微软雅黑"/>
          <w:b/>
          <w:bCs/>
          <w:sz w:val="36"/>
          <w:szCs w:val="36"/>
          <w:lang w:eastAsia="zh-CN"/>
        </w:rPr>
        <w:t>检验前须知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  <w:b/>
          <w:bCs/>
        </w:rPr>
        <w:t>一、适用范围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</w:rPr>
        <w:t>1、《特种设备安全法》和</w:t>
      </w:r>
      <w:bookmarkStart w:id="0" w:name="_GoBack"/>
      <w:bookmarkEnd w:id="0"/>
      <w:r>
        <w:rPr>
          <w:rFonts w:ascii="微软雅黑" w:hAnsi="微软雅黑"/>
        </w:rPr>
        <w:t>《特种设备目录》规定的各类场（厂）内机动车辆监督检验和定期检验。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  <w:b/>
          <w:bCs/>
        </w:rPr>
        <w:t>二、名词术语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</w:rPr>
        <w:t>场（厂）内专用机动车辆，是指除道路交通、农用车辆以外仅在工厂厂区、旅游景区、游乐场所等特定区域使用的专用机动车辆。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  <w:b/>
          <w:bCs/>
        </w:rPr>
        <w:t>三、检验业务申报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</w:rPr>
        <w:t>1、首次检验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</w:rPr>
        <w:t>申报首检时需提供下列材料：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hint="eastAsia" w:ascii="微软雅黑" w:hAnsi="微软雅黑"/>
        </w:rPr>
        <w:t>制造单位生产（制造）许可证</w:t>
      </w:r>
      <w:r>
        <w:rPr>
          <w:rFonts w:ascii="微软雅黑" w:hAnsi="微软雅黑"/>
        </w:rPr>
        <w:t>，</w:t>
      </w:r>
      <w:r>
        <w:rPr>
          <w:rFonts w:hint="eastAsia" w:ascii="微软雅黑" w:hAnsi="微软雅黑"/>
        </w:rPr>
        <w:t>型式试验合格证、产品合格证、数据表、出厂检验报告、主要受力构件材质证明。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</w:rPr>
        <w:t>2、定检检验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ascii="微软雅黑" w:hAnsi="微软雅黑"/>
        </w:rPr>
        <w:t>特种设备使用单位应当按照安全技术规范的定期检验要求，在安全检验合格有效期届满前１个月向特种设备检验检测机构提出定期检验要求。申报检验时需提供下列材料：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50"/>
        <w:rPr>
          <w:rFonts w:ascii="微软雅黑" w:hAnsi="微软雅黑"/>
        </w:rPr>
      </w:pPr>
      <w:r>
        <w:rPr>
          <w:rFonts w:hint="eastAsia" w:ascii="微软雅黑" w:hAnsi="微软雅黑"/>
        </w:rPr>
        <w:t>最近一次首次或定期检验报告；出厂随机资料（必要时）。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91"/>
    <w:rsid w:val="00810F91"/>
    <w:rsid w:val="00DB5921"/>
    <w:rsid w:val="00F03ABB"/>
    <w:rsid w:val="1514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269</Characters>
  <Lines>2</Lines>
  <Paragraphs>1</Paragraphs>
  <TotalTime>7</TotalTime>
  <ScaleCrop>false</ScaleCrop>
  <LinksUpToDate>false</LinksUpToDate>
  <CharactersWithSpaces>315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2020-09-29T14:19:00Z</dcterms:created>
  <dc:creator>china</dc:creator>
  <cp:lastModifiedBy>Administrator</cp:lastModifiedBy>
  <dcterms:modified xsi:type="dcterms:W3CDTF">2020-09-30T02:12:01Z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